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CACB" w14:textId="4110CABA" w:rsidR="008A3FBB" w:rsidRDefault="008A3FBB" w:rsidP="000F7673">
      <w:pPr>
        <w:pStyle w:val="Titl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Instructor: R. Volunwell </w:t>
      </w:r>
    </w:p>
    <w:p w14:paraId="18A8EFDE" w14:textId="571B8832" w:rsidR="000F7673" w:rsidRPr="00137B5B" w:rsidRDefault="000F7673" w:rsidP="000F7673">
      <w:pPr>
        <w:pStyle w:val="Title"/>
        <w:rPr>
          <w:rFonts w:ascii="Book Antiqua" w:hAnsi="Book Antiqua"/>
          <w:sz w:val="22"/>
          <w:szCs w:val="22"/>
        </w:rPr>
      </w:pPr>
      <w:r w:rsidRPr="00137B5B">
        <w:rPr>
          <w:rFonts w:ascii="Book Antiqua" w:hAnsi="Book Antiqua"/>
          <w:sz w:val="22"/>
          <w:szCs w:val="22"/>
        </w:rPr>
        <w:t>Module # 29807</w:t>
      </w:r>
      <w:r w:rsidR="00EB0146" w:rsidRPr="00137B5B">
        <w:rPr>
          <w:rFonts w:ascii="Book Antiqua" w:hAnsi="Book Antiqua"/>
          <w:sz w:val="22"/>
          <w:szCs w:val="22"/>
        </w:rPr>
        <w:t>-</w:t>
      </w:r>
      <w:r w:rsidRPr="00137B5B">
        <w:rPr>
          <w:rFonts w:ascii="Book Antiqua" w:hAnsi="Book Antiqua"/>
          <w:sz w:val="22"/>
          <w:szCs w:val="22"/>
        </w:rPr>
        <w:t>1</w:t>
      </w:r>
    </w:p>
    <w:p w14:paraId="1CF6B8AB" w14:textId="07746DE7" w:rsidR="000F7673" w:rsidRPr="00137B5B" w:rsidRDefault="00135F75" w:rsidP="000F7673">
      <w:pPr>
        <w:pStyle w:val="Title"/>
        <w:rPr>
          <w:rFonts w:ascii="Book Antiqua" w:hAnsi="Book Antiqua"/>
          <w:sz w:val="22"/>
          <w:szCs w:val="22"/>
        </w:rPr>
      </w:pPr>
      <w:r w:rsidRPr="00137B5B">
        <w:rPr>
          <w:rFonts w:ascii="Book Antiqua" w:hAnsi="Book Antiqua"/>
          <w:sz w:val="22"/>
          <w:szCs w:val="22"/>
        </w:rPr>
        <w:t>Rubric</w:t>
      </w:r>
      <w:r w:rsidR="008B694F" w:rsidRPr="00137B5B">
        <w:rPr>
          <w:rFonts w:ascii="Book Antiqua" w:hAnsi="Book Antiqua"/>
          <w:sz w:val="22"/>
          <w:szCs w:val="22"/>
        </w:rPr>
        <w:t>-</w:t>
      </w:r>
      <w:r w:rsidR="000F7673" w:rsidRPr="00137B5B">
        <w:rPr>
          <w:rFonts w:ascii="Book Antiqua" w:hAnsi="Book Antiqua"/>
          <w:sz w:val="22"/>
          <w:szCs w:val="22"/>
        </w:rPr>
        <w:t xml:space="preserve">Intellection and Prose </w:t>
      </w:r>
    </w:p>
    <w:p w14:paraId="2E27C763" w14:textId="5345A8BD" w:rsidR="000F7673" w:rsidRPr="00137B5B" w:rsidRDefault="000F7673" w:rsidP="000F7673">
      <w:pPr>
        <w:pStyle w:val="Title"/>
        <w:rPr>
          <w:rFonts w:ascii="Book Antiqua" w:hAnsi="Book Antiqua"/>
          <w:sz w:val="22"/>
          <w:szCs w:val="22"/>
        </w:rPr>
      </w:pPr>
      <w:r w:rsidRPr="00137B5B">
        <w:rPr>
          <w:rFonts w:ascii="Book Antiqua" w:hAnsi="Book Antiqua"/>
          <w:sz w:val="22"/>
          <w:szCs w:val="22"/>
        </w:rPr>
        <w:t>Module # 30149</w:t>
      </w:r>
    </w:p>
    <w:p w14:paraId="21D73031" w14:textId="58AE34AD" w:rsidR="000F7673" w:rsidRPr="00137B5B" w:rsidRDefault="000F7673" w:rsidP="000F7673">
      <w:pPr>
        <w:pStyle w:val="Title"/>
        <w:rPr>
          <w:rFonts w:ascii="Book Antiqua" w:hAnsi="Book Antiqua"/>
          <w:sz w:val="22"/>
          <w:szCs w:val="22"/>
        </w:rPr>
      </w:pPr>
      <w:r w:rsidRPr="00137B5B">
        <w:rPr>
          <w:rFonts w:ascii="Book Antiqua" w:hAnsi="Book Antiqua"/>
          <w:sz w:val="22"/>
          <w:szCs w:val="22"/>
        </w:rPr>
        <w:t>Rubric-Science and Fiction</w:t>
      </w:r>
    </w:p>
    <w:p w14:paraId="2F23B757" w14:textId="02CF1820" w:rsidR="008B694F" w:rsidRPr="00137B5B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 xml:space="preserve">Paper due </w:t>
      </w:r>
      <w:r w:rsidR="00EB0146"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4/26</w:t>
      </w:r>
      <w:r w:rsidR="00E6536D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-27</w:t>
      </w:r>
      <w:r w:rsidR="00EB0146"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/18</w:t>
      </w:r>
    </w:p>
    <w:p w14:paraId="1A2523E8" w14:textId="77777777" w:rsidR="00EB0146" w:rsidRPr="00137B5B" w:rsidRDefault="00EB0146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</w:p>
    <w:p w14:paraId="083D59F4" w14:textId="1D61D7F9" w:rsidR="008B694F" w:rsidRPr="00137B5B" w:rsidRDefault="00DD7E25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  <w:r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5-6</w:t>
      </w:r>
      <w:r w:rsidR="008B694F"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 xml:space="preserve"> pg. typed</w:t>
      </w:r>
    </w:p>
    <w:p w14:paraId="34B094D9" w14:textId="59F6390E" w:rsidR="008B694F" w:rsidRPr="00137B5B" w:rsidRDefault="00DD7E25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  <w:r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10-12</w:t>
      </w:r>
      <w:r w:rsidR="008B694F"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 xml:space="preserve"> pages written</w:t>
      </w:r>
    </w:p>
    <w:p w14:paraId="754B0CF0" w14:textId="77777777" w:rsidR="008B694F" w:rsidRPr="00137B5B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 </w:t>
      </w:r>
    </w:p>
    <w:p w14:paraId="229996B7" w14:textId="7CC9B2C2" w:rsidR="008D024D" w:rsidRPr="00137B5B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 xml:space="preserve">The following 3 topics are options for </w:t>
      </w:r>
      <w:r w:rsidR="00ED270E"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Second Term Paper</w:t>
      </w:r>
      <w:r w:rsidR="008D024D"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; Choose one of the following response styles:</w:t>
      </w:r>
    </w:p>
    <w:p w14:paraId="689D3AFD" w14:textId="77777777" w:rsidR="008D024D" w:rsidRPr="00137B5B" w:rsidRDefault="008D024D" w:rsidP="008B694F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</w:pPr>
    </w:p>
    <w:p w14:paraId="692609F8" w14:textId="3628814D" w:rsidR="008D024D" w:rsidRPr="00137B5B" w:rsidRDefault="00723536" w:rsidP="001114E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Proposal</w:t>
      </w:r>
      <w:r w:rsidR="003B20AA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-</w:t>
      </w:r>
      <w:r w:rsidR="00064072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3B20AA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Implicit ideas about text </w:t>
      </w:r>
      <w:r w:rsidR="00237DD2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as thesis </w:t>
      </w:r>
      <w:r w:rsidR="003B20AA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>explained</w:t>
      </w:r>
      <w:r w:rsidR="00BA212F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 with support evidenced by works cited</w:t>
      </w:r>
    </w:p>
    <w:p w14:paraId="1F64CBF6" w14:textId="77777777" w:rsidR="008D024D" w:rsidRPr="00137B5B" w:rsidRDefault="008D024D" w:rsidP="008B694F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</w:pPr>
    </w:p>
    <w:p w14:paraId="4920C781" w14:textId="723F9B6F" w:rsidR="008D024D" w:rsidRPr="00684FF3" w:rsidRDefault="00723536" w:rsidP="001114E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Propositional</w:t>
      </w:r>
      <w:r w:rsidR="003B20AA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-</w:t>
      </w:r>
      <w:r w:rsidR="00064072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3B20AA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Original </w:t>
      </w:r>
      <w:r w:rsidR="00064072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or </w:t>
      </w:r>
      <w:r w:rsidR="003B20AA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independent perspective </w:t>
      </w:r>
      <w:r w:rsidR="00237DD2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as thesis </w:t>
      </w:r>
      <w:r w:rsidR="003B20AA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with support evidenced in text </w:t>
      </w:r>
      <w:r w:rsidR="00BA212F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>and by works cited</w:t>
      </w:r>
    </w:p>
    <w:p w14:paraId="66CE25E0" w14:textId="77777777" w:rsidR="008D024D" w:rsidRPr="00137B5B" w:rsidRDefault="008D024D" w:rsidP="008B694F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</w:pPr>
    </w:p>
    <w:p w14:paraId="5B3C57A9" w14:textId="4DC74F72" w:rsidR="008B694F" w:rsidRPr="00137B5B" w:rsidRDefault="00723536" w:rsidP="001114E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Positional</w:t>
      </w:r>
      <w:r w:rsidR="003B20AA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-</w:t>
      </w:r>
      <w:r w:rsidR="00064072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3B20AA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>Argumentative</w:t>
      </w:r>
      <w:r w:rsidR="00BA212F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 </w:t>
      </w:r>
      <w:r w:rsidR="00237DD2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>essay</w:t>
      </w:r>
      <w:r w:rsidR="00BA212F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 related to subjective observation </w:t>
      </w:r>
      <w:r w:rsidR="00237DD2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 xml:space="preserve">as thesis </w:t>
      </w:r>
      <w:r w:rsidR="00BA212F" w:rsidRPr="00684FF3">
        <w:rPr>
          <w:rFonts w:ascii="Book Antiqua" w:hAnsi="Book Antiqua"/>
          <w:bCs/>
          <w:color w:val="222222"/>
          <w:sz w:val="22"/>
          <w:szCs w:val="22"/>
          <w:shd w:val="clear" w:color="auto" w:fill="FFFFFF"/>
        </w:rPr>
        <w:t>with support evidenced by works cited</w:t>
      </w:r>
    </w:p>
    <w:p w14:paraId="34FBCDA1" w14:textId="77777777" w:rsidR="00640D34" w:rsidRPr="00137B5B" w:rsidRDefault="00640D34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3B0C6E28" w14:textId="77777777" w:rsidR="00640D34" w:rsidRPr="00137B5B" w:rsidRDefault="00640D34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01ACF616" w14:textId="4F8A7A13" w:rsidR="00723536" w:rsidRPr="00137B5B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>Topic</w:t>
      </w:r>
      <w:r w:rsidR="008D024D"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>-</w:t>
      </w:r>
      <w:r w:rsidR="00137B5B"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>Quantum Physics</w:t>
      </w:r>
    </w:p>
    <w:p w14:paraId="3ED6CE4C" w14:textId="77777777" w:rsidR="00723536" w:rsidRPr="00137B5B" w:rsidRDefault="00723536" w:rsidP="008B694F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</w:pPr>
    </w:p>
    <w:p w14:paraId="5A71935F" w14:textId="5CA3508C" w:rsidR="00640D34" w:rsidRPr="00137B5B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 </w:t>
      </w:r>
    </w:p>
    <w:p w14:paraId="522F7E40" w14:textId="2EC40923" w:rsidR="008B694F" w:rsidRPr="00137B5B" w:rsidRDefault="00640D34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37B5B">
        <w:rPr>
          <w:rFonts w:ascii="Book Antiqua" w:hAnsi="Book Antiqua"/>
          <w:sz w:val="22"/>
          <w:szCs w:val="22"/>
        </w:rPr>
        <w:t>-</w:t>
      </w:r>
      <w:r w:rsidR="00B62CF8" w:rsidRPr="00137B5B">
        <w:rPr>
          <w:rFonts w:ascii="Book Antiqua" w:hAnsi="Book Antiqua"/>
          <w:sz w:val="22"/>
          <w:szCs w:val="22"/>
        </w:rPr>
        <w:t>Does consideration of particle science actually influence real life measure</w:t>
      </w:r>
      <w:r w:rsidR="00003975">
        <w:rPr>
          <w:rFonts w:ascii="Book Antiqua" w:hAnsi="Book Antiqua"/>
          <w:sz w:val="22"/>
          <w:szCs w:val="22"/>
        </w:rPr>
        <w:t>ment</w:t>
      </w:r>
      <w:r w:rsidR="00B62CF8" w:rsidRPr="00137B5B">
        <w:rPr>
          <w:rFonts w:ascii="Book Antiqua" w:hAnsi="Book Antiqua"/>
          <w:sz w:val="22"/>
          <w:szCs w:val="22"/>
        </w:rPr>
        <w:t xml:space="preserve"> units?  The space-time continuum relies heavily upon the weight of atomic configuration</w:t>
      </w:r>
      <w:r w:rsidR="0084151C" w:rsidRPr="00137B5B">
        <w:rPr>
          <w:rFonts w:ascii="Book Antiqua" w:hAnsi="Book Antiqua"/>
          <w:sz w:val="22"/>
          <w:szCs w:val="22"/>
        </w:rPr>
        <w:t>,</w:t>
      </w:r>
      <w:r w:rsidR="00B62CF8" w:rsidRPr="00137B5B">
        <w:rPr>
          <w:rFonts w:ascii="Book Antiqua" w:hAnsi="Book Antiqua"/>
          <w:sz w:val="22"/>
          <w:szCs w:val="22"/>
        </w:rPr>
        <w:t xml:space="preserve"> and in the “Quantum” some of these particles equate to</w:t>
      </w:r>
      <w:r w:rsidR="001E767C">
        <w:rPr>
          <w:rFonts w:ascii="Book Antiqua" w:hAnsi="Book Antiqua"/>
          <w:sz w:val="22"/>
          <w:szCs w:val="22"/>
        </w:rPr>
        <w:t xml:space="preserve"> various </w:t>
      </w:r>
      <w:r w:rsidR="00A2169B">
        <w:rPr>
          <w:rFonts w:ascii="Book Antiqua" w:hAnsi="Book Antiqua"/>
          <w:sz w:val="22"/>
          <w:szCs w:val="22"/>
        </w:rPr>
        <w:t xml:space="preserve">spin </w:t>
      </w:r>
      <w:r w:rsidR="001E767C">
        <w:rPr>
          <w:rFonts w:ascii="Book Antiqua" w:hAnsi="Book Antiqua"/>
          <w:sz w:val="22"/>
          <w:szCs w:val="22"/>
        </w:rPr>
        <w:t xml:space="preserve">(i.e. </w:t>
      </w:r>
      <w:r w:rsidR="00216201" w:rsidRPr="00137B5B">
        <w:rPr>
          <w:rFonts w:ascii="Book Antiqua" w:hAnsi="Book Antiqua"/>
          <w:sz w:val="22"/>
          <w:szCs w:val="22"/>
        </w:rPr>
        <w:t>1/2</w:t>
      </w:r>
      <w:r w:rsidR="0084151C" w:rsidRPr="00137B5B">
        <w:rPr>
          <w:rFonts w:ascii="Book Antiqua" w:hAnsi="Book Antiqua"/>
          <w:sz w:val="22"/>
          <w:szCs w:val="22"/>
        </w:rPr>
        <w:t xml:space="preserve"> spin</w:t>
      </w:r>
      <w:r w:rsidR="001E767C">
        <w:rPr>
          <w:rFonts w:ascii="Book Antiqua" w:hAnsi="Book Antiqua"/>
          <w:sz w:val="22"/>
          <w:szCs w:val="22"/>
        </w:rPr>
        <w:t>)</w:t>
      </w:r>
      <w:r w:rsidR="0084151C" w:rsidRPr="00137B5B">
        <w:rPr>
          <w:rFonts w:ascii="Book Antiqua" w:hAnsi="Book Antiqua"/>
          <w:sz w:val="22"/>
          <w:szCs w:val="22"/>
        </w:rPr>
        <w:t xml:space="preserve"> </w:t>
      </w:r>
      <w:r w:rsidR="00B62CF8" w:rsidRPr="00137B5B">
        <w:rPr>
          <w:rFonts w:ascii="Book Antiqua" w:hAnsi="Book Antiqua"/>
          <w:sz w:val="22"/>
          <w:szCs w:val="22"/>
        </w:rPr>
        <w:t>particles</w:t>
      </w:r>
      <w:r w:rsidR="0084151C" w:rsidRPr="00137B5B">
        <w:rPr>
          <w:rFonts w:ascii="Book Antiqua" w:hAnsi="Book Antiqua"/>
          <w:sz w:val="22"/>
          <w:szCs w:val="22"/>
        </w:rPr>
        <w:t xml:space="preserve"> as in gluons.  W</w:t>
      </w:r>
      <w:r w:rsidR="00B62CF8" w:rsidRPr="00137B5B">
        <w:rPr>
          <w:rFonts w:ascii="Book Antiqua" w:hAnsi="Book Antiqua"/>
          <w:sz w:val="22"/>
          <w:szCs w:val="22"/>
        </w:rPr>
        <w:t>hile in Chemistry the particles under contempla</w:t>
      </w:r>
      <w:r w:rsidR="00275650" w:rsidRPr="00137B5B">
        <w:rPr>
          <w:rFonts w:ascii="Book Antiqua" w:hAnsi="Book Antiqua"/>
          <w:sz w:val="22"/>
          <w:szCs w:val="22"/>
        </w:rPr>
        <w:t>tion sometimes equate to full or</w:t>
      </w:r>
      <w:r w:rsidR="00B62CF8" w:rsidRPr="00137B5B">
        <w:rPr>
          <w:rFonts w:ascii="Book Antiqua" w:hAnsi="Book Antiqua"/>
          <w:sz w:val="22"/>
          <w:szCs w:val="22"/>
        </w:rPr>
        <w:t xml:space="preserve"> partial atomic weights</w:t>
      </w:r>
      <w:r w:rsidR="00F008FD">
        <w:rPr>
          <w:rFonts w:ascii="Book Antiqua" w:hAnsi="Book Antiqua"/>
          <w:sz w:val="22"/>
          <w:szCs w:val="22"/>
        </w:rPr>
        <w:t>,</w:t>
      </w:r>
      <w:r w:rsidR="00B62CF8" w:rsidRPr="00137B5B">
        <w:rPr>
          <w:rFonts w:ascii="Book Antiqua" w:hAnsi="Book Antiqua"/>
          <w:sz w:val="22"/>
          <w:szCs w:val="22"/>
        </w:rPr>
        <w:t xml:space="preserve"> which may affect the stability or the plausibility of an element</w:t>
      </w:r>
      <w:r w:rsidR="00F008FD">
        <w:rPr>
          <w:rFonts w:ascii="Book Antiqua" w:hAnsi="Book Antiqua"/>
          <w:sz w:val="22"/>
          <w:szCs w:val="22"/>
        </w:rPr>
        <w:t xml:space="preserve">; </w:t>
      </w:r>
      <w:r w:rsidR="00215B95">
        <w:rPr>
          <w:rFonts w:ascii="Book Antiqua" w:hAnsi="Book Antiqua"/>
          <w:sz w:val="22"/>
          <w:szCs w:val="22"/>
        </w:rPr>
        <w:t>fusion</w:t>
      </w:r>
      <w:r w:rsidR="00003975">
        <w:rPr>
          <w:rFonts w:ascii="Book Antiqua" w:hAnsi="Book Antiqua"/>
          <w:sz w:val="22"/>
          <w:szCs w:val="22"/>
        </w:rPr>
        <w:t xml:space="preserve"> remains out of the </w:t>
      </w:r>
      <w:r w:rsidR="00215B95">
        <w:rPr>
          <w:rFonts w:ascii="Book Antiqua" w:hAnsi="Book Antiqua"/>
          <w:sz w:val="22"/>
          <w:szCs w:val="22"/>
        </w:rPr>
        <w:t>governing bounds for human observers</w:t>
      </w:r>
      <w:r w:rsidR="00003975">
        <w:rPr>
          <w:rFonts w:ascii="Book Antiqua" w:hAnsi="Book Antiqua"/>
          <w:sz w:val="22"/>
          <w:szCs w:val="22"/>
        </w:rPr>
        <w:t xml:space="preserve"> for several reasons</w:t>
      </w:r>
      <w:r w:rsidR="00215B95">
        <w:rPr>
          <w:rFonts w:ascii="Book Antiqua" w:hAnsi="Book Antiqua"/>
          <w:sz w:val="22"/>
          <w:szCs w:val="22"/>
        </w:rPr>
        <w:t>; so why is</w:t>
      </w:r>
      <w:r w:rsidR="00003975">
        <w:rPr>
          <w:rFonts w:ascii="Book Antiqua" w:hAnsi="Book Antiqua"/>
          <w:sz w:val="22"/>
          <w:szCs w:val="22"/>
        </w:rPr>
        <w:t xml:space="preserve"> fission more accessible, </w:t>
      </w:r>
      <w:r w:rsidR="00215B95">
        <w:rPr>
          <w:rFonts w:ascii="Book Antiqua" w:hAnsi="Book Antiqua"/>
          <w:sz w:val="22"/>
          <w:szCs w:val="22"/>
        </w:rPr>
        <w:t>while</w:t>
      </w:r>
      <w:r w:rsidR="00003975">
        <w:rPr>
          <w:rFonts w:ascii="Book Antiqua" w:hAnsi="Book Antiqua"/>
          <w:sz w:val="22"/>
          <w:szCs w:val="22"/>
        </w:rPr>
        <w:t xml:space="preserve"> radioactive decay gives rise</w:t>
      </w:r>
      <w:r w:rsidR="007D22D9">
        <w:rPr>
          <w:rFonts w:ascii="Book Antiqua" w:hAnsi="Book Antiqua"/>
          <w:sz w:val="22"/>
          <w:szCs w:val="22"/>
        </w:rPr>
        <w:t xml:space="preserve"> to</w:t>
      </w:r>
      <w:r w:rsidR="00003975">
        <w:rPr>
          <w:rFonts w:ascii="Book Antiqua" w:hAnsi="Book Antiqua"/>
          <w:sz w:val="22"/>
          <w:szCs w:val="22"/>
        </w:rPr>
        <w:t xml:space="preserve"> new perplexing scientific discoveries that allude to the possible existence of negation points and particle displacement</w:t>
      </w:r>
      <w:r w:rsidR="00215B95">
        <w:rPr>
          <w:rFonts w:ascii="Book Antiqua" w:hAnsi="Book Antiqua"/>
          <w:sz w:val="22"/>
          <w:szCs w:val="22"/>
        </w:rPr>
        <w:t>?</w:t>
      </w:r>
      <w:r w:rsidR="00003975">
        <w:rPr>
          <w:rFonts w:ascii="Book Antiqua" w:hAnsi="Book Antiqua"/>
          <w:sz w:val="22"/>
          <w:szCs w:val="22"/>
        </w:rPr>
        <w:t xml:space="preserve">  </w:t>
      </w:r>
      <w:r w:rsidR="00B62CF8" w:rsidRPr="00137B5B">
        <w:rPr>
          <w:rFonts w:ascii="Book Antiqua" w:hAnsi="Book Antiqua"/>
          <w:sz w:val="22"/>
          <w:szCs w:val="22"/>
        </w:rPr>
        <w:t xml:space="preserve">  Explain the effect of particle decay and/or culmination and how it is relevant to </w:t>
      </w:r>
      <w:r w:rsidR="0084151C" w:rsidRPr="00137B5B">
        <w:rPr>
          <w:rFonts w:ascii="Book Antiqua" w:hAnsi="Book Antiqua"/>
          <w:sz w:val="22"/>
          <w:szCs w:val="22"/>
        </w:rPr>
        <w:t>measurement</w:t>
      </w:r>
      <w:r w:rsidR="00B62CF8" w:rsidRPr="00137B5B">
        <w:rPr>
          <w:rFonts w:ascii="Book Antiqua" w:hAnsi="Book Antiqua"/>
          <w:sz w:val="22"/>
          <w:szCs w:val="22"/>
        </w:rPr>
        <w:t xml:space="preserve"> </w:t>
      </w:r>
      <w:r w:rsidR="00A92B6D">
        <w:rPr>
          <w:rFonts w:ascii="Book Antiqua" w:hAnsi="Book Antiqua"/>
          <w:sz w:val="22"/>
          <w:szCs w:val="22"/>
        </w:rPr>
        <w:t>with</w:t>
      </w:r>
      <w:r w:rsidR="0084151C" w:rsidRPr="00137B5B">
        <w:rPr>
          <w:rFonts w:ascii="Book Antiqua" w:hAnsi="Book Antiqua"/>
          <w:sz w:val="22"/>
          <w:szCs w:val="22"/>
        </w:rPr>
        <w:t xml:space="preserve">in the </w:t>
      </w:r>
      <w:r w:rsidR="00B62CF8" w:rsidRPr="00137B5B">
        <w:rPr>
          <w:rFonts w:ascii="Book Antiqua" w:hAnsi="Book Antiqua"/>
          <w:sz w:val="22"/>
          <w:szCs w:val="22"/>
        </w:rPr>
        <w:t xml:space="preserve">space-time continuum.  </w:t>
      </w:r>
      <w:r w:rsidR="001965AE">
        <w:rPr>
          <w:rFonts w:ascii="Book Antiqua" w:hAnsi="Book Antiqua"/>
          <w:sz w:val="22"/>
          <w:szCs w:val="22"/>
        </w:rPr>
        <w:t xml:space="preserve">Explore </w:t>
      </w:r>
      <w:r w:rsidR="00F008FD">
        <w:rPr>
          <w:rFonts w:ascii="Book Antiqua" w:hAnsi="Book Antiqua"/>
          <w:sz w:val="22"/>
          <w:szCs w:val="22"/>
        </w:rPr>
        <w:t>ideas</w:t>
      </w:r>
      <w:r w:rsidR="001965AE">
        <w:rPr>
          <w:rFonts w:ascii="Book Antiqua" w:hAnsi="Book Antiqua"/>
          <w:sz w:val="22"/>
          <w:szCs w:val="22"/>
        </w:rPr>
        <w:t xml:space="preserve"> </w:t>
      </w:r>
      <w:r w:rsidR="00F008FD">
        <w:rPr>
          <w:rFonts w:ascii="Book Antiqua" w:hAnsi="Book Antiqua"/>
          <w:sz w:val="22"/>
          <w:szCs w:val="22"/>
        </w:rPr>
        <w:t>such as:</w:t>
      </w:r>
      <w:r w:rsidR="001965AE">
        <w:rPr>
          <w:rFonts w:ascii="Book Antiqua" w:hAnsi="Book Antiqua"/>
          <w:sz w:val="22"/>
          <w:szCs w:val="22"/>
        </w:rPr>
        <w:t xml:space="preserve"> </w:t>
      </w:r>
      <w:r w:rsidR="00B62CF8" w:rsidRPr="00137B5B">
        <w:rPr>
          <w:rFonts w:ascii="Book Antiqua" w:hAnsi="Book Antiqua"/>
          <w:sz w:val="22"/>
          <w:szCs w:val="22"/>
        </w:rPr>
        <w:t>Planck scale, Hawking’s Radiation, S-matrix</w:t>
      </w:r>
      <w:r w:rsidR="00C010C0">
        <w:rPr>
          <w:rFonts w:ascii="Book Antiqua" w:hAnsi="Book Antiqua"/>
          <w:sz w:val="22"/>
          <w:szCs w:val="22"/>
        </w:rPr>
        <w:t>, and scientists such as</w:t>
      </w:r>
      <w:r w:rsidR="00F008FD">
        <w:rPr>
          <w:rFonts w:ascii="Book Antiqua" w:hAnsi="Book Antiqua"/>
          <w:sz w:val="22"/>
          <w:szCs w:val="22"/>
        </w:rPr>
        <w:t>:</w:t>
      </w:r>
      <w:r w:rsidR="00E03B10">
        <w:rPr>
          <w:rFonts w:ascii="Book Antiqua" w:hAnsi="Book Antiqua"/>
          <w:sz w:val="22"/>
          <w:szCs w:val="22"/>
        </w:rPr>
        <w:t xml:space="preserve"> Schrodinger, Mendeleyev</w:t>
      </w:r>
      <w:r w:rsidR="00F3709B">
        <w:rPr>
          <w:rFonts w:ascii="Book Antiqua" w:hAnsi="Book Antiqua"/>
          <w:sz w:val="22"/>
          <w:szCs w:val="22"/>
        </w:rPr>
        <w:t>,</w:t>
      </w:r>
      <w:r w:rsidR="00C010C0">
        <w:rPr>
          <w:rFonts w:ascii="Book Antiqua" w:hAnsi="Book Antiqua"/>
          <w:sz w:val="22"/>
          <w:szCs w:val="22"/>
        </w:rPr>
        <w:t xml:space="preserve"> </w:t>
      </w:r>
      <w:r w:rsidR="00F3709B">
        <w:rPr>
          <w:rFonts w:ascii="Book Antiqua" w:hAnsi="Book Antiqua"/>
          <w:sz w:val="22"/>
          <w:szCs w:val="22"/>
        </w:rPr>
        <w:t xml:space="preserve">Gadolin </w:t>
      </w:r>
      <w:r w:rsidR="00C010C0">
        <w:rPr>
          <w:rFonts w:ascii="Book Antiqua" w:hAnsi="Book Antiqua"/>
          <w:sz w:val="22"/>
          <w:szCs w:val="22"/>
        </w:rPr>
        <w:t>and</w:t>
      </w:r>
      <w:r w:rsidR="00DC5C39">
        <w:rPr>
          <w:rFonts w:ascii="Book Antiqua" w:hAnsi="Book Antiqua"/>
          <w:sz w:val="22"/>
          <w:szCs w:val="22"/>
        </w:rPr>
        <w:t xml:space="preserve"> other astronomers</w:t>
      </w:r>
      <w:r w:rsidR="00A92B6D">
        <w:rPr>
          <w:rFonts w:ascii="Book Antiqua" w:hAnsi="Book Antiqua"/>
          <w:sz w:val="22"/>
          <w:szCs w:val="22"/>
        </w:rPr>
        <w:t>, physicists,</w:t>
      </w:r>
      <w:r w:rsidR="00DC5C39">
        <w:rPr>
          <w:rFonts w:ascii="Book Antiqua" w:hAnsi="Book Antiqua"/>
          <w:sz w:val="22"/>
          <w:szCs w:val="22"/>
        </w:rPr>
        <w:t xml:space="preserve"> and </w:t>
      </w:r>
      <w:r w:rsidR="00F3709B">
        <w:rPr>
          <w:rFonts w:ascii="Book Antiqua" w:hAnsi="Book Antiqua"/>
          <w:sz w:val="22"/>
          <w:szCs w:val="22"/>
        </w:rPr>
        <w:t>chemists,</w:t>
      </w:r>
      <w:r w:rsidR="00B62CF8" w:rsidRPr="00137B5B">
        <w:rPr>
          <w:rFonts w:ascii="Book Antiqua" w:hAnsi="Book Antiqua"/>
          <w:sz w:val="22"/>
          <w:szCs w:val="22"/>
        </w:rPr>
        <w:t xml:space="preserve"> </w:t>
      </w:r>
      <w:r w:rsidR="00F3709B">
        <w:rPr>
          <w:rFonts w:ascii="Book Antiqua" w:hAnsi="Book Antiqua"/>
          <w:sz w:val="22"/>
          <w:szCs w:val="22"/>
        </w:rPr>
        <w:t>whereby their works</w:t>
      </w:r>
      <w:r w:rsidR="008A46E8">
        <w:rPr>
          <w:rFonts w:ascii="Book Antiqua" w:hAnsi="Book Antiqua"/>
          <w:sz w:val="22"/>
          <w:szCs w:val="22"/>
        </w:rPr>
        <w:t xml:space="preserve"> might</w:t>
      </w:r>
      <w:r w:rsidR="001965AE">
        <w:rPr>
          <w:rFonts w:ascii="Book Antiqua" w:hAnsi="Book Antiqua"/>
          <w:sz w:val="22"/>
          <w:szCs w:val="22"/>
        </w:rPr>
        <w:t xml:space="preserve"> support </w:t>
      </w:r>
      <w:r w:rsidR="00F3709B">
        <w:rPr>
          <w:rFonts w:ascii="Book Antiqua" w:hAnsi="Book Antiqua"/>
          <w:sz w:val="22"/>
          <w:szCs w:val="22"/>
        </w:rPr>
        <w:t>concepts such as</w:t>
      </w:r>
      <w:r w:rsidR="001965AE">
        <w:rPr>
          <w:rFonts w:ascii="Book Antiqua" w:hAnsi="Book Antiqua"/>
          <w:sz w:val="22"/>
          <w:szCs w:val="22"/>
        </w:rPr>
        <w:t xml:space="preserve"> inverse square law</w:t>
      </w:r>
      <w:r w:rsidR="008A46E8">
        <w:rPr>
          <w:rFonts w:ascii="Book Antiqua" w:hAnsi="Book Antiqua"/>
          <w:sz w:val="22"/>
          <w:szCs w:val="22"/>
        </w:rPr>
        <w:t>, special relativity,</w:t>
      </w:r>
      <w:r w:rsidR="001965AE">
        <w:rPr>
          <w:rFonts w:ascii="Book Antiqua" w:hAnsi="Book Antiqua"/>
          <w:sz w:val="22"/>
          <w:szCs w:val="22"/>
        </w:rPr>
        <w:t xml:space="preserve"> and other Q</w:t>
      </w:r>
      <w:r w:rsidR="00215B95">
        <w:rPr>
          <w:rFonts w:ascii="Book Antiqua" w:hAnsi="Book Antiqua"/>
          <w:sz w:val="22"/>
          <w:szCs w:val="22"/>
        </w:rPr>
        <w:t>.</w:t>
      </w:r>
      <w:r w:rsidR="001965AE">
        <w:rPr>
          <w:rFonts w:ascii="Book Antiqua" w:hAnsi="Book Antiqua"/>
          <w:sz w:val="22"/>
          <w:szCs w:val="22"/>
        </w:rPr>
        <w:t>P</w:t>
      </w:r>
      <w:r w:rsidR="00215B95">
        <w:rPr>
          <w:rFonts w:ascii="Book Antiqua" w:hAnsi="Book Antiqua"/>
          <w:sz w:val="22"/>
          <w:szCs w:val="22"/>
        </w:rPr>
        <w:t xml:space="preserve">. </w:t>
      </w:r>
      <w:r w:rsidR="001965AE">
        <w:rPr>
          <w:rFonts w:ascii="Book Antiqua" w:hAnsi="Book Antiqua"/>
          <w:sz w:val="22"/>
          <w:szCs w:val="22"/>
        </w:rPr>
        <w:t>dis</w:t>
      </w:r>
      <w:r w:rsidR="00215B95">
        <w:rPr>
          <w:rFonts w:ascii="Book Antiqua" w:hAnsi="Book Antiqua"/>
          <w:sz w:val="22"/>
          <w:szCs w:val="22"/>
        </w:rPr>
        <w:t>-</w:t>
      </w:r>
      <w:r w:rsidR="001965AE">
        <w:rPr>
          <w:rFonts w:ascii="Book Antiqua" w:hAnsi="Book Antiqua"/>
          <w:sz w:val="22"/>
          <w:szCs w:val="22"/>
        </w:rPr>
        <w:t xml:space="preserve">anomalies.  </w:t>
      </w:r>
      <w:r w:rsidR="00B62CF8" w:rsidRPr="00137B5B">
        <w:rPr>
          <w:rFonts w:ascii="Book Antiqua" w:hAnsi="Book Antiqua"/>
          <w:sz w:val="22"/>
          <w:szCs w:val="22"/>
        </w:rPr>
        <w:t xml:space="preserve"> </w:t>
      </w:r>
    </w:p>
    <w:p w14:paraId="030B35D2" w14:textId="77777777" w:rsidR="008B694F" w:rsidRPr="00137B5B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37B5B">
        <w:rPr>
          <w:rFonts w:ascii="Book Antiqua" w:hAnsi="Book Antiqua"/>
          <w:sz w:val="22"/>
          <w:szCs w:val="22"/>
        </w:rPr>
        <w:t> </w:t>
      </w:r>
    </w:p>
    <w:p w14:paraId="601C6139" w14:textId="68A73477" w:rsidR="008B694F" w:rsidRPr="00137B5B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>Topic</w:t>
      </w:r>
      <w:r w:rsidR="008D024D"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>-</w:t>
      </w:r>
      <w:r w:rsidR="000141EB"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>Engel’s</w:t>
      </w:r>
      <w:r w:rsidR="008D024D"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 Communist Manifesto</w:t>
      </w:r>
    </w:p>
    <w:p w14:paraId="3BCAC0CB" w14:textId="630D4C99" w:rsidR="008B694F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37B5B">
        <w:rPr>
          <w:rFonts w:ascii="Book Antiqua" w:hAnsi="Book Antiqua"/>
          <w:sz w:val="22"/>
          <w:szCs w:val="22"/>
        </w:rPr>
        <w:t> </w:t>
      </w:r>
    </w:p>
    <w:p w14:paraId="10406898" w14:textId="11F95A73" w:rsidR="0076012A" w:rsidRDefault="0076012A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1310B4C1" w14:textId="1E33C4B2" w:rsidR="00C61020" w:rsidRDefault="0076012A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</w:r>
      <w:r w:rsidR="00C61020">
        <w:rPr>
          <w:rFonts w:ascii="Book Antiqua" w:hAnsi="Book Antiqua"/>
          <w:sz w:val="22"/>
          <w:szCs w:val="22"/>
        </w:rPr>
        <w:t>Deduce connections between interior and exterior concepts and principles</w:t>
      </w:r>
      <w:bookmarkStart w:id="0" w:name="_GoBack"/>
      <w:bookmarkEnd w:id="0"/>
      <w:r w:rsidR="00C61020">
        <w:rPr>
          <w:rFonts w:ascii="Book Antiqua" w:hAnsi="Book Antiqua"/>
          <w:sz w:val="22"/>
          <w:szCs w:val="22"/>
        </w:rPr>
        <w:t xml:space="preserve"> depicted in C.M.</w:t>
      </w:r>
      <w:r w:rsidR="006810BE">
        <w:rPr>
          <w:rFonts w:ascii="Book Antiqua" w:hAnsi="Book Antiqua"/>
          <w:sz w:val="22"/>
          <w:szCs w:val="22"/>
        </w:rPr>
        <w:t xml:space="preserve"> (i.e. classism, revolutionization, </w:t>
      </w:r>
      <w:r w:rsidR="0038714C">
        <w:rPr>
          <w:rFonts w:ascii="Book Antiqua" w:hAnsi="Book Antiqua"/>
          <w:sz w:val="22"/>
          <w:szCs w:val="22"/>
        </w:rPr>
        <w:t>social constructs, and corruptible interpersonal correlations)</w:t>
      </w:r>
    </w:p>
    <w:p w14:paraId="260FAF57" w14:textId="1A87C81C" w:rsidR="0076012A" w:rsidRDefault="00C61020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</w:r>
      <w:r w:rsidR="00F94C88">
        <w:rPr>
          <w:rFonts w:ascii="Book Antiqua" w:hAnsi="Book Antiqua"/>
          <w:sz w:val="22"/>
          <w:szCs w:val="22"/>
        </w:rPr>
        <w:t>Articulate c</w:t>
      </w:r>
      <w:r>
        <w:rPr>
          <w:rFonts w:ascii="Book Antiqua" w:hAnsi="Book Antiqua"/>
          <w:sz w:val="22"/>
          <w:szCs w:val="22"/>
        </w:rPr>
        <w:t xml:space="preserve">omplicit </w:t>
      </w:r>
      <w:r w:rsidR="00F94C88">
        <w:rPr>
          <w:rFonts w:ascii="Book Antiqua" w:hAnsi="Book Antiqua"/>
          <w:sz w:val="22"/>
          <w:szCs w:val="22"/>
        </w:rPr>
        <w:t xml:space="preserve">reasoning for </w:t>
      </w:r>
      <w:r>
        <w:rPr>
          <w:rFonts w:ascii="Book Antiqua" w:hAnsi="Book Antiqua"/>
          <w:sz w:val="22"/>
          <w:szCs w:val="22"/>
        </w:rPr>
        <w:t>agreement or disagreement with the dialectic of reactionary or proactive</w:t>
      </w:r>
      <w:r w:rsidR="00F94C88">
        <w:rPr>
          <w:rFonts w:ascii="Book Antiqua" w:hAnsi="Book Antiqua"/>
          <w:sz w:val="22"/>
          <w:szCs w:val="22"/>
        </w:rPr>
        <w:t xml:space="preserve"> modalities in the manifesto</w:t>
      </w:r>
      <w:r>
        <w:rPr>
          <w:rFonts w:ascii="Book Antiqua" w:hAnsi="Book Antiqua"/>
          <w:sz w:val="22"/>
          <w:szCs w:val="22"/>
        </w:rPr>
        <w:t xml:space="preserve"> </w:t>
      </w:r>
      <w:r w:rsidR="00C03AE5">
        <w:rPr>
          <w:rFonts w:ascii="Book Antiqua" w:hAnsi="Book Antiqua"/>
          <w:sz w:val="22"/>
          <w:szCs w:val="22"/>
        </w:rPr>
        <w:t>as in the communist plan for abolition in favor of associations</w:t>
      </w:r>
    </w:p>
    <w:p w14:paraId="61F993DF" w14:textId="21474638" w:rsidR="00F94C88" w:rsidRDefault="004268D4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-Describe intent</w:t>
      </w:r>
      <w:r w:rsidR="00C521B4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antiquated perspective</w:t>
      </w:r>
      <w:r w:rsidR="00C521B4">
        <w:rPr>
          <w:rFonts w:ascii="Book Antiqua" w:hAnsi="Book Antiqua"/>
          <w:sz w:val="22"/>
          <w:szCs w:val="22"/>
        </w:rPr>
        <w:t xml:space="preserve">, and /or appropriate justifications or regard for contemporaneous authors in counterpoise </w:t>
      </w:r>
    </w:p>
    <w:p w14:paraId="633298B4" w14:textId="62297712" w:rsidR="00C521B4" w:rsidRPr="00137B5B" w:rsidRDefault="00C521B4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</w:r>
      <w:r w:rsidR="00B44950">
        <w:rPr>
          <w:rFonts w:ascii="Book Antiqua" w:hAnsi="Book Antiqua"/>
          <w:sz w:val="22"/>
          <w:szCs w:val="22"/>
        </w:rPr>
        <w:t>Expound practical applicability to present or antiquated notions in general, which take into account socio</w:t>
      </w:r>
      <w:r w:rsidR="001C0DAA">
        <w:rPr>
          <w:rFonts w:ascii="Book Antiqua" w:hAnsi="Book Antiqua"/>
          <w:sz w:val="22"/>
          <w:szCs w:val="22"/>
        </w:rPr>
        <w:t>-political</w:t>
      </w:r>
      <w:r w:rsidR="00B44950">
        <w:rPr>
          <w:rFonts w:ascii="Book Antiqua" w:hAnsi="Book Antiqua"/>
          <w:sz w:val="22"/>
          <w:szCs w:val="22"/>
        </w:rPr>
        <w:t xml:space="preserve"> and geo-political climate</w:t>
      </w:r>
      <w:r w:rsidR="001C0DAA">
        <w:rPr>
          <w:rFonts w:ascii="Book Antiqua" w:hAnsi="Book Antiqua"/>
          <w:sz w:val="22"/>
          <w:szCs w:val="22"/>
        </w:rPr>
        <w:t xml:space="preserve"> in lieu of era</w:t>
      </w:r>
    </w:p>
    <w:p w14:paraId="48CAB480" w14:textId="77777777" w:rsidR="008B694F" w:rsidRPr="00137B5B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lastRenderedPageBreak/>
        <w:t> </w:t>
      </w:r>
    </w:p>
    <w:p w14:paraId="237B6466" w14:textId="1C227376" w:rsidR="008B694F" w:rsidRPr="00137B5B" w:rsidRDefault="0084151C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  <w:u w:val="single"/>
        </w:rPr>
      </w:pPr>
      <w:r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> Topic</w:t>
      </w:r>
      <w:r w:rsidR="008D024D"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>-</w:t>
      </w:r>
      <w:r w:rsidR="00137B5B" w:rsidRPr="00137B5B">
        <w:rPr>
          <w:rFonts w:ascii="Book Antiqua" w:hAnsi="Book Antiqua"/>
          <w:b/>
          <w:bCs/>
          <w:color w:val="222222"/>
          <w:sz w:val="22"/>
          <w:szCs w:val="22"/>
          <w:u w:val="single"/>
          <w:shd w:val="clear" w:color="auto" w:fill="FFFFFF"/>
        </w:rPr>
        <w:t>Hume’s Human Associations</w:t>
      </w:r>
    </w:p>
    <w:p w14:paraId="240D3B85" w14:textId="77777777" w:rsidR="005233E3" w:rsidRDefault="008B694F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37B5B">
        <w:rPr>
          <w:rFonts w:ascii="Book Antiqua" w:hAnsi="Book Antiqua"/>
          <w:sz w:val="22"/>
          <w:szCs w:val="22"/>
        </w:rPr>
        <w:t> </w:t>
      </w:r>
    </w:p>
    <w:p w14:paraId="6A1F7C67" w14:textId="77777777" w:rsidR="005233E3" w:rsidRDefault="005233E3" w:rsidP="008B694F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6B5C4824" w14:textId="5D401F41" w:rsidR="00D9149D" w:rsidRDefault="004A0607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  <w:r w:rsidRPr="00137B5B">
        <w:rPr>
          <w:rFonts w:ascii="Book Antiqua" w:hAnsi="Book Antiqua"/>
          <w:sz w:val="22"/>
          <w:szCs w:val="22"/>
        </w:rPr>
        <w:t>-</w:t>
      </w:r>
      <w:r w:rsidR="002457C4" w:rsidRPr="00137B5B">
        <w:rPr>
          <w:rFonts w:ascii="Book Antiqua" w:hAnsi="Book Antiqua"/>
          <w:color w:val="222222"/>
          <w:sz w:val="22"/>
          <w:szCs w:val="22"/>
        </w:rPr>
        <w:t xml:space="preserve"> </w:t>
      </w:r>
      <w:r w:rsidR="00645D72">
        <w:rPr>
          <w:rFonts w:ascii="Book Antiqua" w:hAnsi="Book Antiqua"/>
          <w:color w:val="222222"/>
          <w:sz w:val="22"/>
          <w:szCs w:val="22"/>
        </w:rPr>
        <w:t xml:space="preserve">Extrapolate </w:t>
      </w:r>
      <w:r w:rsidR="00D9149D">
        <w:rPr>
          <w:rFonts w:ascii="Book Antiqua" w:hAnsi="Book Antiqua"/>
          <w:color w:val="222222"/>
          <w:sz w:val="22"/>
          <w:szCs w:val="22"/>
        </w:rPr>
        <w:t xml:space="preserve">the heuristic qualities </w:t>
      </w:r>
      <w:r w:rsidR="006A4F7A">
        <w:rPr>
          <w:rFonts w:ascii="Book Antiqua" w:hAnsi="Book Antiqua"/>
          <w:color w:val="222222"/>
          <w:sz w:val="22"/>
          <w:szCs w:val="22"/>
        </w:rPr>
        <w:t>related to human associations by resemblance, contiguity, and causation</w:t>
      </w:r>
    </w:p>
    <w:p w14:paraId="5923EBD3" w14:textId="161FB272" w:rsidR="005233E3" w:rsidRDefault="00D9149D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  <w:r>
        <w:rPr>
          <w:rFonts w:ascii="Book Antiqua" w:hAnsi="Book Antiqua"/>
          <w:color w:val="222222"/>
          <w:sz w:val="22"/>
          <w:szCs w:val="22"/>
        </w:rPr>
        <w:t>-</w:t>
      </w:r>
      <w:r w:rsidR="006A4F7A">
        <w:rPr>
          <w:rFonts w:ascii="Book Antiqua" w:hAnsi="Book Antiqua"/>
          <w:color w:val="222222"/>
          <w:sz w:val="22"/>
          <w:szCs w:val="22"/>
        </w:rPr>
        <w:t>Indicate e</w:t>
      </w:r>
      <w:r>
        <w:rPr>
          <w:rFonts w:ascii="Book Antiqua" w:hAnsi="Book Antiqua"/>
          <w:color w:val="222222"/>
          <w:sz w:val="22"/>
          <w:szCs w:val="22"/>
        </w:rPr>
        <w:t>mpirical</w:t>
      </w:r>
      <w:r w:rsidR="004268A9">
        <w:rPr>
          <w:rFonts w:ascii="Book Antiqua" w:hAnsi="Book Antiqua"/>
          <w:color w:val="222222"/>
          <w:sz w:val="22"/>
          <w:szCs w:val="22"/>
        </w:rPr>
        <w:t xml:space="preserve"> ideologies</w:t>
      </w:r>
      <w:r>
        <w:rPr>
          <w:rFonts w:ascii="Book Antiqua" w:hAnsi="Book Antiqua"/>
          <w:color w:val="222222"/>
          <w:sz w:val="22"/>
          <w:szCs w:val="22"/>
        </w:rPr>
        <w:t xml:space="preserve"> </w:t>
      </w:r>
      <w:r w:rsidR="00D13C65">
        <w:rPr>
          <w:rFonts w:ascii="Book Antiqua" w:hAnsi="Book Antiqua"/>
          <w:color w:val="222222"/>
          <w:sz w:val="22"/>
          <w:szCs w:val="22"/>
        </w:rPr>
        <w:t xml:space="preserve">or </w:t>
      </w:r>
      <w:r w:rsidR="006A4F7A">
        <w:rPr>
          <w:rFonts w:ascii="Book Antiqua" w:hAnsi="Book Antiqua"/>
          <w:color w:val="222222"/>
          <w:sz w:val="22"/>
          <w:szCs w:val="22"/>
        </w:rPr>
        <w:t xml:space="preserve">reasonable </w:t>
      </w:r>
      <w:r w:rsidR="004268A9">
        <w:rPr>
          <w:rFonts w:ascii="Book Antiqua" w:hAnsi="Book Antiqua"/>
          <w:color w:val="222222"/>
          <w:sz w:val="22"/>
          <w:szCs w:val="22"/>
        </w:rPr>
        <w:t>impressions associated with the psycho-social experience of attaining knowledge that is either authentic or conceptual detailing contrasted insights</w:t>
      </w:r>
    </w:p>
    <w:p w14:paraId="42091D3A" w14:textId="22DBB755" w:rsidR="00D9149D" w:rsidRDefault="008F552C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  <w:r>
        <w:rPr>
          <w:rFonts w:ascii="Book Antiqua" w:hAnsi="Book Antiqua"/>
          <w:color w:val="222222"/>
          <w:sz w:val="22"/>
          <w:szCs w:val="22"/>
        </w:rPr>
        <w:t>-Definitively analyze, in counterpoise, Hume’s associative a</w:t>
      </w:r>
      <w:r w:rsidR="00D13C65">
        <w:rPr>
          <w:rFonts w:ascii="Book Antiqua" w:hAnsi="Book Antiqua"/>
          <w:color w:val="222222"/>
          <w:sz w:val="22"/>
          <w:szCs w:val="22"/>
        </w:rPr>
        <w:t>bsolutist</w:t>
      </w:r>
      <w:r>
        <w:rPr>
          <w:rFonts w:ascii="Book Antiqua" w:hAnsi="Book Antiqua"/>
          <w:color w:val="222222"/>
          <w:sz w:val="22"/>
          <w:szCs w:val="22"/>
        </w:rPr>
        <w:t>/</w:t>
      </w:r>
      <w:r w:rsidR="00ED33E5">
        <w:rPr>
          <w:rFonts w:ascii="Book Antiqua" w:hAnsi="Book Antiqua"/>
          <w:color w:val="222222"/>
          <w:sz w:val="22"/>
          <w:szCs w:val="22"/>
        </w:rPr>
        <w:t>relativistic</w:t>
      </w:r>
      <w:r w:rsidR="00D13C65">
        <w:rPr>
          <w:rFonts w:ascii="Book Antiqua" w:hAnsi="Book Antiqua"/>
          <w:color w:val="222222"/>
          <w:sz w:val="22"/>
          <w:szCs w:val="22"/>
        </w:rPr>
        <w:t xml:space="preserve"> </w:t>
      </w:r>
      <w:r>
        <w:rPr>
          <w:rFonts w:ascii="Book Antiqua" w:hAnsi="Book Antiqua"/>
          <w:color w:val="222222"/>
          <w:sz w:val="22"/>
          <w:szCs w:val="22"/>
        </w:rPr>
        <w:t>dichotomy by drawing connections from</w:t>
      </w:r>
      <w:r w:rsidR="00ED33E5">
        <w:rPr>
          <w:rFonts w:ascii="Book Antiqua" w:hAnsi="Book Antiqua"/>
          <w:color w:val="222222"/>
          <w:sz w:val="22"/>
          <w:szCs w:val="22"/>
        </w:rPr>
        <w:t xml:space="preserve"> his works and</w:t>
      </w:r>
      <w:r>
        <w:rPr>
          <w:rFonts w:ascii="Book Antiqua" w:hAnsi="Book Antiqua"/>
          <w:color w:val="222222"/>
          <w:sz w:val="22"/>
          <w:szCs w:val="22"/>
        </w:rPr>
        <w:t xml:space="preserve"> other contemporaneous authors who hermetically attribute causation to the psycho-analytic </w:t>
      </w:r>
    </w:p>
    <w:p w14:paraId="4417E432" w14:textId="7C5E17FF" w:rsidR="00D13C65" w:rsidRDefault="00D13C65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  <w:r>
        <w:rPr>
          <w:rFonts w:ascii="Book Antiqua" w:hAnsi="Book Antiqua"/>
          <w:color w:val="222222"/>
          <w:sz w:val="22"/>
          <w:szCs w:val="22"/>
        </w:rPr>
        <w:t>-</w:t>
      </w:r>
      <w:r w:rsidR="00E03B10">
        <w:rPr>
          <w:rFonts w:ascii="Book Antiqua" w:hAnsi="Book Antiqua"/>
          <w:color w:val="222222"/>
          <w:sz w:val="22"/>
          <w:szCs w:val="22"/>
        </w:rPr>
        <w:t>Evaluate p</w:t>
      </w:r>
      <w:r>
        <w:rPr>
          <w:rFonts w:ascii="Book Antiqua" w:hAnsi="Book Antiqua"/>
          <w:color w:val="222222"/>
          <w:sz w:val="22"/>
          <w:szCs w:val="22"/>
        </w:rPr>
        <w:t>ractical applicability</w:t>
      </w:r>
      <w:r w:rsidR="00E03B10">
        <w:rPr>
          <w:rFonts w:ascii="Book Antiqua" w:hAnsi="Book Antiqua"/>
          <w:color w:val="222222"/>
          <w:sz w:val="22"/>
          <w:szCs w:val="22"/>
        </w:rPr>
        <w:t xml:space="preserve"> to present or antiquated notions </w:t>
      </w:r>
      <w:r w:rsidR="00A2169B">
        <w:rPr>
          <w:rFonts w:ascii="Book Antiqua" w:hAnsi="Book Antiqua"/>
          <w:color w:val="222222"/>
          <w:sz w:val="22"/>
          <w:szCs w:val="22"/>
        </w:rPr>
        <w:t xml:space="preserve">of Hume’s </w:t>
      </w:r>
      <w:r w:rsidR="00A2169B">
        <w:rPr>
          <w:rFonts w:ascii="Book Antiqua" w:hAnsi="Book Antiqua"/>
          <w:i/>
          <w:color w:val="222222"/>
          <w:sz w:val="22"/>
          <w:szCs w:val="22"/>
        </w:rPr>
        <w:t>scepticism</w:t>
      </w:r>
      <w:r w:rsidR="00A2169B">
        <w:rPr>
          <w:rFonts w:ascii="Book Antiqua" w:hAnsi="Book Antiqua"/>
          <w:color w:val="222222"/>
          <w:sz w:val="22"/>
          <w:szCs w:val="22"/>
        </w:rPr>
        <w:t>,</w:t>
      </w:r>
      <w:r w:rsidR="00E03B10">
        <w:rPr>
          <w:rFonts w:ascii="Book Antiqua" w:hAnsi="Book Antiqua"/>
          <w:color w:val="222222"/>
          <w:sz w:val="22"/>
          <w:szCs w:val="22"/>
        </w:rPr>
        <w:t xml:space="preserve"> which take into account</w:t>
      </w:r>
      <w:r w:rsidR="00A2169B">
        <w:rPr>
          <w:rFonts w:ascii="Book Antiqua" w:hAnsi="Book Antiqua"/>
          <w:color w:val="222222"/>
          <w:sz w:val="22"/>
          <w:szCs w:val="22"/>
        </w:rPr>
        <w:t xml:space="preserve"> the</w:t>
      </w:r>
      <w:r w:rsidR="00E03B10">
        <w:rPr>
          <w:rFonts w:ascii="Book Antiqua" w:hAnsi="Book Antiqua"/>
          <w:color w:val="222222"/>
          <w:sz w:val="22"/>
          <w:szCs w:val="22"/>
        </w:rPr>
        <w:t xml:space="preserve"> interior and exterior </w:t>
      </w:r>
      <w:r w:rsidR="00A2169B">
        <w:rPr>
          <w:rFonts w:ascii="Book Antiqua" w:hAnsi="Book Antiqua"/>
          <w:color w:val="222222"/>
          <w:sz w:val="22"/>
          <w:szCs w:val="22"/>
        </w:rPr>
        <w:t>spectra</w:t>
      </w:r>
      <w:r w:rsidR="00F03B46">
        <w:rPr>
          <w:rFonts w:ascii="Book Antiqua" w:hAnsi="Book Antiqua"/>
          <w:color w:val="222222"/>
          <w:sz w:val="22"/>
          <w:szCs w:val="22"/>
        </w:rPr>
        <w:t xml:space="preserve"> (i.e. objects</w:t>
      </w:r>
      <w:r w:rsidR="00164736">
        <w:rPr>
          <w:rFonts w:ascii="Book Antiqua" w:hAnsi="Book Antiqua"/>
          <w:color w:val="222222"/>
          <w:sz w:val="22"/>
          <w:szCs w:val="22"/>
        </w:rPr>
        <w:t xml:space="preserve"> and substances</w:t>
      </w:r>
      <w:r w:rsidR="00F03B46">
        <w:rPr>
          <w:rFonts w:ascii="Book Antiqua" w:hAnsi="Book Antiqua"/>
          <w:color w:val="222222"/>
          <w:sz w:val="22"/>
          <w:szCs w:val="22"/>
        </w:rPr>
        <w:t>)</w:t>
      </w:r>
      <w:r w:rsidR="00A2169B">
        <w:rPr>
          <w:rFonts w:ascii="Book Antiqua" w:hAnsi="Book Antiqua"/>
          <w:color w:val="222222"/>
          <w:sz w:val="22"/>
          <w:szCs w:val="22"/>
        </w:rPr>
        <w:t xml:space="preserve"> from the </w:t>
      </w:r>
      <w:r w:rsidR="00164736">
        <w:rPr>
          <w:rFonts w:ascii="Book Antiqua" w:hAnsi="Book Antiqua"/>
          <w:color w:val="222222"/>
          <w:sz w:val="22"/>
          <w:szCs w:val="22"/>
        </w:rPr>
        <w:t>posture</w:t>
      </w:r>
      <w:r w:rsidR="00A2169B">
        <w:rPr>
          <w:rFonts w:ascii="Book Antiqua" w:hAnsi="Book Antiqua"/>
          <w:color w:val="222222"/>
          <w:sz w:val="22"/>
          <w:szCs w:val="22"/>
        </w:rPr>
        <w:t xml:space="preserve"> of </w:t>
      </w:r>
      <w:r w:rsidR="00E03B10">
        <w:rPr>
          <w:rFonts w:ascii="Book Antiqua" w:hAnsi="Book Antiqua"/>
          <w:color w:val="222222"/>
          <w:sz w:val="22"/>
          <w:szCs w:val="22"/>
        </w:rPr>
        <w:t xml:space="preserve">intrapersonal </w:t>
      </w:r>
      <w:r w:rsidR="00164736">
        <w:rPr>
          <w:rFonts w:ascii="Book Antiqua" w:hAnsi="Book Antiqua"/>
          <w:color w:val="222222"/>
          <w:sz w:val="22"/>
          <w:szCs w:val="22"/>
        </w:rPr>
        <w:t>phenomen</w:t>
      </w:r>
      <w:r w:rsidR="0024116B">
        <w:rPr>
          <w:rFonts w:ascii="Book Antiqua" w:hAnsi="Book Antiqua"/>
          <w:color w:val="222222"/>
          <w:sz w:val="22"/>
          <w:szCs w:val="22"/>
        </w:rPr>
        <w:t>a</w:t>
      </w:r>
    </w:p>
    <w:p w14:paraId="75E086B4" w14:textId="77777777" w:rsidR="00D13C65" w:rsidRPr="00137B5B" w:rsidRDefault="00D13C65" w:rsidP="008B694F">
      <w:pPr>
        <w:pStyle w:val="NormalWeb"/>
        <w:spacing w:before="0" w:beforeAutospacing="0" w:after="0" w:afterAutospacing="0"/>
        <w:rPr>
          <w:rFonts w:ascii="Book Antiqua" w:hAnsi="Book Antiqua"/>
          <w:color w:val="222222"/>
          <w:sz w:val="22"/>
          <w:szCs w:val="22"/>
        </w:rPr>
      </w:pPr>
    </w:p>
    <w:p w14:paraId="76561BCE" w14:textId="77777777" w:rsidR="008B694F" w:rsidRDefault="008B694F" w:rsidP="008B694F"/>
    <w:p w14:paraId="6075959C" w14:textId="77777777" w:rsidR="00806F28" w:rsidRDefault="00806F28">
      <w:pPr>
        <w:pStyle w:val="Title"/>
      </w:pP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806F28" w14:paraId="23E4B7C8" w14:textId="77777777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14:paraId="19F9718B" w14:textId="77777777" w:rsidR="00806F28" w:rsidRDefault="00135F75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11859C3E" w14:textId="77777777" w:rsidR="00806F28" w:rsidRDefault="00135F75">
            <w:pPr>
              <w:pStyle w:val="Heading1"/>
              <w:keepNext w:val="0"/>
              <w:keepLines w:val="0"/>
              <w:spacing w:after="0"/>
            </w:pPr>
            <w:r>
              <w:t>Content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4DC7B995" w14:textId="77777777" w:rsidR="00806F28" w:rsidRDefault="00135F75">
            <w:pPr>
              <w:pStyle w:val="Heading1"/>
              <w:keepNext w:val="0"/>
              <w:keepLines w:val="0"/>
              <w:spacing w:after="0"/>
            </w:pPr>
            <w:r>
              <w:t>Conventions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022778C7" w14:textId="77777777" w:rsidR="00806F28" w:rsidRDefault="00135F75">
            <w:pPr>
              <w:pStyle w:val="Heading1"/>
              <w:keepNext w:val="0"/>
              <w:keepLines w:val="0"/>
              <w:spacing w:after="0"/>
            </w:pPr>
            <w:r>
              <w:t>Organization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14:paraId="3F511022" w14:textId="77777777" w:rsidR="00806F28" w:rsidRDefault="00135F75">
            <w:pPr>
              <w:pStyle w:val="Heading1"/>
              <w:keepNext w:val="0"/>
              <w:keepLines w:val="0"/>
              <w:spacing w:after="0"/>
            </w:pPr>
            <w:r>
              <w:t>Presentation</w:t>
            </w:r>
          </w:p>
        </w:tc>
      </w:tr>
      <w:tr w:rsidR="00806F28" w14:paraId="5B60D7FA" w14:textId="77777777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14:paraId="186B2C74" w14:textId="77777777" w:rsidR="00806F28" w:rsidRDefault="008B694F">
            <w:pPr>
              <w:pStyle w:val="Heading1"/>
              <w:keepNext w:val="0"/>
              <w:keepLines w:val="0"/>
              <w:spacing w:after="0"/>
            </w:pPr>
            <w:r>
              <w:t>A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62952BD7" w14:textId="37363E53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Is well thought out and supports the solution to the challenge or question</w:t>
            </w:r>
          </w:p>
          <w:p w14:paraId="0FBFBECF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Reflects application of critical thinking</w:t>
            </w:r>
          </w:p>
          <w:p w14:paraId="4A07CDA9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Has clear goal that is related to the topic</w:t>
            </w:r>
          </w:p>
          <w:p w14:paraId="50F63AA0" w14:textId="1133FDDF" w:rsidR="009845D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Is pulled from a variety of sources</w:t>
            </w:r>
            <w:r w:rsidR="009845D8">
              <w:t xml:space="preserve"> </w:t>
            </w:r>
          </w:p>
          <w:p w14:paraId="129EFD27" w14:textId="180888D7" w:rsidR="009845D8" w:rsidRDefault="009845D8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Correct format APA/MLA works cited</w:t>
            </w:r>
          </w:p>
          <w:p w14:paraId="78C4B5D6" w14:textId="16AEF4E9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Is accurate</w:t>
            </w: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2D80C589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No spelling, grammatical, or punctuation errors</w:t>
            </w:r>
          </w:p>
          <w:p w14:paraId="4026D6BC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High-level use of vocabulary and word choice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2D08CC74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Information is clearly focused in an organized and thoughtful manner</w:t>
            </w:r>
          </w:p>
          <w:p w14:paraId="45985608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Information is constructed in a logical pattern to support the solution</w:t>
            </w: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14:paraId="00294D39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Multimedia is used to clarify and illustrate the main points</w:t>
            </w:r>
          </w:p>
          <w:p w14:paraId="4B842ECA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Format enhances the content</w:t>
            </w:r>
          </w:p>
          <w:p w14:paraId="2903E63C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Presentation captures audience attention</w:t>
            </w:r>
          </w:p>
          <w:p w14:paraId="15A44E69" w14:textId="77777777" w:rsidR="00806F28" w:rsidRDefault="00135F75" w:rsidP="0062624F">
            <w:pPr>
              <w:pStyle w:val="ListBullet"/>
              <w:numPr>
                <w:ilvl w:val="0"/>
                <w:numId w:val="8"/>
              </w:numPr>
              <w:spacing w:after="0"/>
            </w:pPr>
            <w:r>
              <w:t>Presentation is organized and well laid out</w:t>
            </w:r>
          </w:p>
        </w:tc>
      </w:tr>
      <w:tr w:rsidR="00806F28" w14:paraId="7310062C" w14:textId="77777777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14:paraId="2D4A76C0" w14:textId="77777777" w:rsidR="00806F28" w:rsidRDefault="008B694F">
            <w:pPr>
              <w:pStyle w:val="Heading1"/>
              <w:keepNext w:val="0"/>
              <w:keepLines w:val="0"/>
              <w:spacing w:after="0"/>
            </w:pPr>
            <w:r>
              <w:t>B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1CBA70EE" w14:textId="77777777" w:rsidR="00806F28" w:rsidRDefault="0019378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Focus correlates with assigned topic</w:t>
            </w:r>
          </w:p>
          <w:p w14:paraId="378B1162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Has application of critical thinking that is apparent</w:t>
            </w:r>
          </w:p>
          <w:p w14:paraId="6D26BBE8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Has clear goal that is related to the topic</w:t>
            </w:r>
          </w:p>
          <w:p w14:paraId="0203B549" w14:textId="0C2049BF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Is pulled from several sources</w:t>
            </w:r>
          </w:p>
          <w:p w14:paraId="4DB9EA98" w14:textId="62AFF74D" w:rsidR="008F6AE1" w:rsidRDefault="008F6AE1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Correct APA/MLA works cited</w:t>
            </w:r>
          </w:p>
          <w:p w14:paraId="634E6AB0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Is accurate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525FD27B" w14:textId="01523E4D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Few (</w:t>
            </w:r>
            <w:r w:rsidR="001965AE">
              <w:t>3</w:t>
            </w:r>
            <w:r>
              <w:t>) spelling, grammatical, or punctuation errors</w:t>
            </w:r>
          </w:p>
          <w:p w14:paraId="411AA2C8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Good use of vocabulary and word choice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35E3B44A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Information supports the solution to the challenge or question</w:t>
            </w:r>
          </w:p>
          <w:p w14:paraId="7B88485B" w14:textId="77777777" w:rsidR="00193785" w:rsidRDefault="0019378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Opening and Closing Statements</w:t>
            </w:r>
          </w:p>
          <w:p w14:paraId="364CC438" w14:textId="77777777" w:rsidR="00193785" w:rsidRDefault="00A87782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 xml:space="preserve">Thesis statements </w:t>
            </w:r>
          </w:p>
          <w:p w14:paraId="3A10673E" w14:textId="77777777" w:rsidR="00A87782" w:rsidRDefault="00A87782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Topic Sentences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14:paraId="225599A1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Multimedia is used to illustrate the main points</w:t>
            </w:r>
          </w:p>
          <w:p w14:paraId="48F382BD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Format is appropriate for the content</w:t>
            </w:r>
          </w:p>
          <w:p w14:paraId="40EB70EA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Presentation captures audience attention</w:t>
            </w:r>
          </w:p>
          <w:p w14:paraId="23579C33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Presentation is well organized</w:t>
            </w:r>
          </w:p>
        </w:tc>
      </w:tr>
      <w:tr w:rsidR="00806F28" w14:paraId="031CE2F2" w14:textId="77777777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14:paraId="48C9C849" w14:textId="77777777" w:rsidR="00806F28" w:rsidRDefault="008B694F">
            <w:pPr>
              <w:pStyle w:val="Heading1"/>
              <w:keepNext w:val="0"/>
              <w:keepLines w:val="0"/>
              <w:spacing w:after="0"/>
            </w:pPr>
            <w:r>
              <w:lastRenderedPageBreak/>
              <w:t>C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00156D91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Supports the solution</w:t>
            </w:r>
          </w:p>
          <w:p w14:paraId="51190D5F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Has application of critical thinking that is apparent</w:t>
            </w:r>
          </w:p>
          <w:p w14:paraId="4922CA1B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Has no clear goal</w:t>
            </w:r>
          </w:p>
          <w:p w14:paraId="56B0580E" w14:textId="50A52055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Is pulled from a limited number of sources</w:t>
            </w:r>
          </w:p>
          <w:p w14:paraId="69D64B9F" w14:textId="5D78590F" w:rsidR="000259E4" w:rsidRDefault="000259E4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Incorrect format APA/MLA works cited</w:t>
            </w:r>
          </w:p>
          <w:p w14:paraId="462F00A7" w14:textId="6CFD7508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Has some factual errors or inconsistencies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1438F245" w14:textId="7CEF04E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Minimal (5) spelling, grammatical, or punctuation errors</w:t>
            </w:r>
          </w:p>
          <w:p w14:paraId="67B2EE3F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Low-level use of vocabulary and word choice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566AD508" w14:textId="77777777" w:rsidR="00806F28" w:rsidRDefault="000A73D7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Information</w:t>
            </w:r>
            <w:r w:rsidR="00135F75">
              <w:t xml:space="preserve"> has a focus but might stray from </w:t>
            </w:r>
            <w:r>
              <w:t>topic</w:t>
            </w:r>
            <w:r w:rsidR="00135F75">
              <w:t xml:space="preserve"> at times</w:t>
            </w:r>
          </w:p>
          <w:p w14:paraId="5B7B6E32" w14:textId="77777777" w:rsidR="000A73D7" w:rsidRDefault="000A73D7" w:rsidP="000A73D7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Mostly Focused Opening and Closing Statements</w:t>
            </w:r>
          </w:p>
          <w:p w14:paraId="293F4949" w14:textId="77777777" w:rsidR="000A73D7" w:rsidRDefault="000A73D7" w:rsidP="000A73D7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 xml:space="preserve">Mostly Focused Thesis statements </w:t>
            </w:r>
          </w:p>
          <w:p w14:paraId="7BEB362E" w14:textId="77777777" w:rsidR="000A73D7" w:rsidRDefault="000A73D7" w:rsidP="000A73D7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Mostly Focused Topic Sentences</w:t>
            </w:r>
          </w:p>
          <w:p w14:paraId="098A798D" w14:textId="77777777" w:rsidR="00806F28" w:rsidRDefault="00135F75" w:rsidP="000A73D7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Information loosely supports the solution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14:paraId="2065CCFF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Multimedia loosely illustrates the main points</w:t>
            </w:r>
          </w:p>
          <w:p w14:paraId="7C762401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Format does not suit the content</w:t>
            </w:r>
          </w:p>
          <w:p w14:paraId="5B50449B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Presentation does not capture audience attention</w:t>
            </w:r>
          </w:p>
          <w:p w14:paraId="3164CD18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Presentation is loosely organized</w:t>
            </w:r>
          </w:p>
        </w:tc>
      </w:tr>
      <w:tr w:rsidR="00806F28" w14:paraId="77749406" w14:textId="77777777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14:paraId="063B0D7F" w14:textId="77777777" w:rsidR="00806F28" w:rsidRDefault="008B694F">
            <w:pPr>
              <w:pStyle w:val="Heading1"/>
              <w:keepNext w:val="0"/>
              <w:keepLines w:val="0"/>
              <w:spacing w:after="0"/>
            </w:pPr>
            <w:r>
              <w:t>D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228181BB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Provides inconsistent information for solution</w:t>
            </w:r>
          </w:p>
          <w:p w14:paraId="5D5A9D11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Has no apparent application of critical</w:t>
            </w:r>
            <w:r w:rsidR="00193785">
              <w:t xml:space="preserve"> </w:t>
            </w:r>
            <w:r>
              <w:t>thinking</w:t>
            </w:r>
          </w:p>
          <w:p w14:paraId="78488454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Has no clear goal</w:t>
            </w:r>
          </w:p>
          <w:p w14:paraId="1109894C" w14:textId="527F92EA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Is pulled from few sources</w:t>
            </w:r>
          </w:p>
          <w:p w14:paraId="03340124" w14:textId="2125B487" w:rsidR="000259E4" w:rsidRDefault="000259E4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Incorrect format APA/MLA works cited</w:t>
            </w:r>
          </w:p>
          <w:p w14:paraId="35E4E8F9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Has significant factual errors, misconceptions, or misinterpretations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29CA736C" w14:textId="1FC85F1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 xml:space="preserve">More than </w:t>
            </w:r>
            <w:r w:rsidR="009845D8">
              <w:t>(</w:t>
            </w:r>
            <w:r w:rsidR="001965AE">
              <w:t>10</w:t>
            </w:r>
            <w:r w:rsidR="009845D8">
              <w:t>)</w:t>
            </w:r>
            <w:r>
              <w:t xml:space="preserve"> spelling, grammatical, or punctuation errors</w:t>
            </w:r>
          </w:p>
          <w:p w14:paraId="56BABD57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Poor use of vocabulary and word choice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54FE9AE8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Content is unfocused and haphazard</w:t>
            </w:r>
          </w:p>
          <w:p w14:paraId="46898A20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Information does not support the solution to the challenge or question</w:t>
            </w:r>
          </w:p>
          <w:p w14:paraId="2584D148" w14:textId="77777777" w:rsidR="000A73D7" w:rsidRDefault="000A73D7" w:rsidP="000A73D7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Unclear/Unfocused Opening and Closing Statements</w:t>
            </w:r>
          </w:p>
          <w:p w14:paraId="735D80F5" w14:textId="77777777" w:rsidR="000A73D7" w:rsidRDefault="000A73D7" w:rsidP="000A73D7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 xml:space="preserve">Unclear/Unfocused Thesis statements </w:t>
            </w:r>
          </w:p>
          <w:p w14:paraId="652933FB" w14:textId="77777777" w:rsidR="00806F28" w:rsidRDefault="000A73D7" w:rsidP="000A73D7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Unclear/Unfocused Topic Sentences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14:paraId="78BC237C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Presentation appears sloppy and/or unfinished</w:t>
            </w:r>
          </w:p>
          <w:p w14:paraId="64AA3D30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Multimedia is overused or underused</w:t>
            </w:r>
          </w:p>
          <w:p w14:paraId="71FA3F10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Format does not enhance content</w:t>
            </w:r>
          </w:p>
          <w:p w14:paraId="285246D8" w14:textId="77777777" w:rsidR="00806F28" w:rsidRDefault="00135F75" w:rsidP="008823FC">
            <w:pPr>
              <w:pStyle w:val="ListBullet"/>
              <w:numPr>
                <w:ilvl w:val="0"/>
                <w:numId w:val="7"/>
              </w:numPr>
              <w:spacing w:after="0"/>
            </w:pPr>
            <w:r>
              <w:t>Presentation has no clear organization</w:t>
            </w:r>
          </w:p>
        </w:tc>
      </w:tr>
    </w:tbl>
    <w:p w14:paraId="4E5F95ED" w14:textId="3C90F6F4" w:rsidR="00806F28" w:rsidRDefault="00806F28"/>
    <w:p w14:paraId="205EB454" w14:textId="6C38AB24" w:rsidR="00520D17" w:rsidRDefault="00520D17"/>
    <w:p w14:paraId="550A7FDC" w14:textId="0ED7F776" w:rsidR="00520D17" w:rsidRDefault="00520D17"/>
    <w:p w14:paraId="0E3D29DC" w14:textId="5B7B950B" w:rsidR="00520D17" w:rsidRDefault="00520D17"/>
    <w:p w14:paraId="2F11A2B6" w14:textId="529BE02E" w:rsidR="00520D17" w:rsidRDefault="00520D17"/>
    <w:p w14:paraId="40F42A2A" w14:textId="720264D9" w:rsidR="00520D17" w:rsidRDefault="00520D17"/>
    <w:p w14:paraId="60E3BFA2" w14:textId="1C3B8BC9" w:rsidR="00520D17" w:rsidRDefault="00520D17"/>
    <w:p w14:paraId="336E6102" w14:textId="2C8C4C0A" w:rsidR="00520D17" w:rsidRDefault="00520D17"/>
    <w:p w14:paraId="1D4DEBF5" w14:textId="5161E50D" w:rsidR="00520D17" w:rsidRDefault="00520D17"/>
    <w:p w14:paraId="339D15C4" w14:textId="2C58C537" w:rsidR="00520D17" w:rsidRDefault="00520D17"/>
    <w:p w14:paraId="64928D9E" w14:textId="654FE0E7" w:rsidR="00520D17" w:rsidRDefault="00520D17"/>
    <w:p w14:paraId="4473FD72" w14:textId="30CEDE19" w:rsidR="00520D17" w:rsidRDefault="00520D17"/>
    <w:p w14:paraId="0B2B3D34" w14:textId="14D79862" w:rsidR="00520D17" w:rsidRDefault="00520D17"/>
    <w:p w14:paraId="2DFDACB0" w14:textId="77D6A18B" w:rsidR="00520D17" w:rsidRDefault="00520D17"/>
    <w:p w14:paraId="000047E3" w14:textId="38F24720" w:rsidR="00520D17" w:rsidRPr="00520D17" w:rsidRDefault="00520D17">
      <w:pPr>
        <w:rPr>
          <w:color w:val="D9D9D9" w:themeColor="background1" w:themeShade="D9"/>
          <w:sz w:val="16"/>
          <w:szCs w:val="16"/>
        </w:rPr>
      </w:pPr>
      <w:r w:rsidRPr="00520D17">
        <w:rPr>
          <w:color w:val="D9D9D9" w:themeColor="background1" w:themeShade="D9"/>
          <w:sz w:val="16"/>
          <w:szCs w:val="16"/>
        </w:rPr>
        <w:t>SOD INC. ©</w:t>
      </w:r>
    </w:p>
    <w:sectPr w:rsidR="00520D17" w:rsidRPr="00520D17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C078" w14:textId="77777777" w:rsidR="00026B54" w:rsidRDefault="00026B54">
      <w:pPr>
        <w:spacing w:before="0" w:after="0"/>
      </w:pPr>
      <w:r>
        <w:separator/>
      </w:r>
    </w:p>
  </w:endnote>
  <w:endnote w:type="continuationSeparator" w:id="0">
    <w:p w14:paraId="729D21ED" w14:textId="77777777" w:rsidR="00026B54" w:rsidRDefault="00026B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255E" w14:textId="77777777" w:rsidR="00026B54" w:rsidRDefault="00026B54">
      <w:pPr>
        <w:spacing w:before="0" w:after="0"/>
      </w:pPr>
      <w:r>
        <w:separator/>
      </w:r>
    </w:p>
  </w:footnote>
  <w:footnote w:type="continuationSeparator" w:id="0">
    <w:p w14:paraId="3A47CC52" w14:textId="77777777" w:rsidR="00026B54" w:rsidRDefault="00026B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BDE7D55"/>
    <w:multiLevelType w:val="hybridMultilevel"/>
    <w:tmpl w:val="0E3456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F1122"/>
    <w:multiLevelType w:val="hybridMultilevel"/>
    <w:tmpl w:val="341A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81914"/>
    <w:multiLevelType w:val="hybridMultilevel"/>
    <w:tmpl w:val="74A6A07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0206B7"/>
    <w:multiLevelType w:val="hybridMultilevel"/>
    <w:tmpl w:val="8482D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4F"/>
    <w:rsid w:val="00003975"/>
    <w:rsid w:val="000141EB"/>
    <w:rsid w:val="000259E4"/>
    <w:rsid w:val="00026B54"/>
    <w:rsid w:val="00046173"/>
    <w:rsid w:val="00064072"/>
    <w:rsid w:val="00086AE6"/>
    <w:rsid w:val="000A73D7"/>
    <w:rsid w:val="000B492F"/>
    <w:rsid w:val="000F7673"/>
    <w:rsid w:val="001114E0"/>
    <w:rsid w:val="00135F75"/>
    <w:rsid w:val="00137B5B"/>
    <w:rsid w:val="00164736"/>
    <w:rsid w:val="00193785"/>
    <w:rsid w:val="001965AE"/>
    <w:rsid w:val="001C0DAA"/>
    <w:rsid w:val="001C6BAF"/>
    <w:rsid w:val="001E767C"/>
    <w:rsid w:val="00204528"/>
    <w:rsid w:val="00215B95"/>
    <w:rsid w:val="00216201"/>
    <w:rsid w:val="00237DD2"/>
    <w:rsid w:val="0024116B"/>
    <w:rsid w:val="002437FC"/>
    <w:rsid w:val="002457C4"/>
    <w:rsid w:val="00257147"/>
    <w:rsid w:val="00271116"/>
    <w:rsid w:val="002715E8"/>
    <w:rsid w:val="00275650"/>
    <w:rsid w:val="00287C26"/>
    <w:rsid w:val="00352C90"/>
    <w:rsid w:val="00355725"/>
    <w:rsid w:val="0036755B"/>
    <w:rsid w:val="0038714C"/>
    <w:rsid w:val="003B20AA"/>
    <w:rsid w:val="003B6C87"/>
    <w:rsid w:val="003F5DB7"/>
    <w:rsid w:val="00424E4A"/>
    <w:rsid w:val="004268A9"/>
    <w:rsid w:val="004268D4"/>
    <w:rsid w:val="00430D84"/>
    <w:rsid w:val="00450ACE"/>
    <w:rsid w:val="004A0607"/>
    <w:rsid w:val="00520D17"/>
    <w:rsid w:val="005233E3"/>
    <w:rsid w:val="00544DED"/>
    <w:rsid w:val="005C2601"/>
    <w:rsid w:val="005F5949"/>
    <w:rsid w:val="006110D5"/>
    <w:rsid w:val="00622FF4"/>
    <w:rsid w:val="0062624F"/>
    <w:rsid w:val="00640D34"/>
    <w:rsid w:val="00645D72"/>
    <w:rsid w:val="006810BE"/>
    <w:rsid w:val="00684FF3"/>
    <w:rsid w:val="006A4F7A"/>
    <w:rsid w:val="006C70D8"/>
    <w:rsid w:val="00723536"/>
    <w:rsid w:val="0076012A"/>
    <w:rsid w:val="007721BD"/>
    <w:rsid w:val="007B360A"/>
    <w:rsid w:val="007D22D9"/>
    <w:rsid w:val="00800F87"/>
    <w:rsid w:val="00804A97"/>
    <w:rsid w:val="00806F28"/>
    <w:rsid w:val="00811579"/>
    <w:rsid w:val="00811F15"/>
    <w:rsid w:val="0081693B"/>
    <w:rsid w:val="0084151C"/>
    <w:rsid w:val="00866CD3"/>
    <w:rsid w:val="00866E8D"/>
    <w:rsid w:val="008823FC"/>
    <w:rsid w:val="008A3FBB"/>
    <w:rsid w:val="008A46E8"/>
    <w:rsid w:val="008B2BF1"/>
    <w:rsid w:val="008B694F"/>
    <w:rsid w:val="008D024D"/>
    <w:rsid w:val="008D12A1"/>
    <w:rsid w:val="008F552C"/>
    <w:rsid w:val="008F6AE1"/>
    <w:rsid w:val="009845D8"/>
    <w:rsid w:val="00987228"/>
    <w:rsid w:val="00A21449"/>
    <w:rsid w:val="00A2169B"/>
    <w:rsid w:val="00A30FFC"/>
    <w:rsid w:val="00A7145D"/>
    <w:rsid w:val="00A87782"/>
    <w:rsid w:val="00A92B6D"/>
    <w:rsid w:val="00AC42EC"/>
    <w:rsid w:val="00AE10B6"/>
    <w:rsid w:val="00B44950"/>
    <w:rsid w:val="00B524B3"/>
    <w:rsid w:val="00B62CF8"/>
    <w:rsid w:val="00BA212F"/>
    <w:rsid w:val="00C010C0"/>
    <w:rsid w:val="00C03AE5"/>
    <w:rsid w:val="00C041EE"/>
    <w:rsid w:val="00C521B4"/>
    <w:rsid w:val="00C61020"/>
    <w:rsid w:val="00CE035D"/>
    <w:rsid w:val="00CE7E8D"/>
    <w:rsid w:val="00CF7E40"/>
    <w:rsid w:val="00D13C65"/>
    <w:rsid w:val="00D9149D"/>
    <w:rsid w:val="00DC4204"/>
    <w:rsid w:val="00DC5C39"/>
    <w:rsid w:val="00DD7E25"/>
    <w:rsid w:val="00E00201"/>
    <w:rsid w:val="00E03B10"/>
    <w:rsid w:val="00E6536D"/>
    <w:rsid w:val="00E80B71"/>
    <w:rsid w:val="00EB0146"/>
    <w:rsid w:val="00EB7587"/>
    <w:rsid w:val="00ED270E"/>
    <w:rsid w:val="00ED33E5"/>
    <w:rsid w:val="00F008FD"/>
    <w:rsid w:val="00F03B46"/>
    <w:rsid w:val="00F36FAE"/>
    <w:rsid w:val="00F3709B"/>
    <w:rsid w:val="00F45AAC"/>
    <w:rsid w:val="00F60AAD"/>
    <w:rsid w:val="00F62458"/>
    <w:rsid w:val="00F64E79"/>
    <w:rsid w:val="00F94C88"/>
    <w:rsid w:val="00FE4BD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B4C0FF"/>
  <w15:chartTrackingRefBased/>
  <w15:docId w15:val="{33A6942B-419F-463C-A344-AFC1CAA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spacing w:before="100" w:after="100"/>
      <w:ind w:right="72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69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ir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</dc:creator>
  <cp:keywords/>
  <cp:lastModifiedBy>Risa</cp:lastModifiedBy>
  <cp:revision>4</cp:revision>
  <dcterms:created xsi:type="dcterms:W3CDTF">2018-04-01T19:47:00Z</dcterms:created>
  <dcterms:modified xsi:type="dcterms:W3CDTF">2018-04-02T14:58:00Z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